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2B68B" w14:textId="77777777" w:rsidR="004120BE" w:rsidRDefault="004120BE" w:rsidP="00B6576C">
      <w:pPr>
        <w:pStyle w:val="NormalWeb"/>
        <w:jc w:val="both"/>
        <w:rPr>
          <w:rFonts w:eastAsiaTheme="majorEastAsia"/>
          <w:b/>
          <w:bCs/>
        </w:rPr>
      </w:pPr>
      <w:r w:rsidRPr="004120BE">
        <w:t xml:space="preserve">Welcome to this podcast on </w:t>
      </w:r>
      <w:r w:rsidRPr="004120BE">
        <w:rPr>
          <w:rStyle w:val="Strong"/>
          <w:rFonts w:eastAsiaTheme="majorEastAsia"/>
          <w:b w:val="0"/>
          <w:bCs w:val="0"/>
        </w:rPr>
        <w:t>The Perfect Tender Rule</w:t>
      </w:r>
      <w:r w:rsidRPr="004120BE">
        <w:rPr>
          <w:rStyle w:val="Strong"/>
          <w:rFonts w:eastAsiaTheme="majorEastAsia"/>
        </w:rPr>
        <w:t xml:space="preserve"> </w:t>
      </w:r>
      <w:r w:rsidRPr="004120BE">
        <w:t>brought to you by CALI. I am Professor Scott J. Burnham. In this podcast we will explore UCC § 2-601, which is popularly known as the Perfect Tender Rule.</w:t>
      </w:r>
    </w:p>
    <w:p w14:paraId="4F444F8C" w14:textId="0A5428E8" w:rsidR="00FD7046" w:rsidRPr="004120BE" w:rsidRDefault="004120BE" w:rsidP="00B6576C">
      <w:pPr>
        <w:pStyle w:val="NormalWeb"/>
        <w:jc w:val="both"/>
        <w:rPr>
          <w:rStyle w:val="Strong"/>
          <w:rFonts w:eastAsiaTheme="majorEastAsia"/>
        </w:rPr>
      </w:pPr>
      <w:r>
        <w:rPr>
          <w:rStyle w:val="Strong"/>
          <w:rFonts w:eastAsiaTheme="majorEastAsia"/>
          <w:b w:val="0"/>
          <w:bCs w:val="0"/>
        </w:rPr>
        <w:t>We begin at the point in the performance of a contract for the sale of goods where the seller has tendered the goods and the buyer has inspected them and found a nonconformity</w:t>
      </w:r>
      <w:r w:rsidR="005103AA">
        <w:rPr>
          <w:rStyle w:val="Strong"/>
          <w:rFonts w:eastAsiaTheme="majorEastAsia"/>
          <w:b w:val="0"/>
          <w:bCs w:val="0"/>
        </w:rPr>
        <w:t>—</w:t>
      </w:r>
      <w:r>
        <w:rPr>
          <w:rStyle w:val="Strong"/>
          <w:rFonts w:eastAsiaTheme="majorEastAsia"/>
          <w:b w:val="0"/>
          <w:bCs w:val="0"/>
        </w:rPr>
        <w:t xml:space="preserve">something that does not conform to what was promised. </w:t>
      </w:r>
      <w:r w:rsidR="00FD7046" w:rsidRPr="004120BE">
        <w:rPr>
          <w:rStyle w:val="Strong"/>
          <w:rFonts w:eastAsiaTheme="majorEastAsia"/>
          <w:b w:val="0"/>
          <w:bCs w:val="0"/>
        </w:rPr>
        <w:t xml:space="preserve">Let’s begin </w:t>
      </w:r>
      <w:r>
        <w:rPr>
          <w:rStyle w:val="Strong"/>
          <w:rFonts w:eastAsiaTheme="majorEastAsia"/>
          <w:b w:val="0"/>
          <w:bCs w:val="0"/>
        </w:rPr>
        <w:t>by contrasting</w:t>
      </w:r>
      <w:r w:rsidR="00FD7046" w:rsidRPr="004120BE">
        <w:rPr>
          <w:rStyle w:val="Strong"/>
          <w:rFonts w:eastAsiaTheme="majorEastAsia"/>
          <w:b w:val="0"/>
          <w:bCs w:val="0"/>
        </w:rPr>
        <w:t xml:space="preserve"> the common law rule. Under the common law, only a material breach by one party discharges the other party’s obligation</w:t>
      </w:r>
      <w:r w:rsidR="00C857BB" w:rsidRPr="004120BE">
        <w:rPr>
          <w:rStyle w:val="Strong"/>
          <w:rFonts w:eastAsiaTheme="majorEastAsia"/>
          <w:b w:val="0"/>
          <w:bCs w:val="0"/>
        </w:rPr>
        <w:t>s</w:t>
      </w:r>
      <w:r w:rsidR="00FD7046" w:rsidRPr="004120BE">
        <w:rPr>
          <w:rStyle w:val="Strong"/>
          <w:rFonts w:eastAsiaTheme="majorEastAsia"/>
          <w:b w:val="0"/>
          <w:bCs w:val="0"/>
        </w:rPr>
        <w:t>. If the breach is immaterial, the other party still has to perform but can recover damages for the breach.</w:t>
      </w:r>
    </w:p>
    <w:p w14:paraId="6481B20A" w14:textId="3D695F80" w:rsidR="00FD7046" w:rsidRPr="004120BE" w:rsidRDefault="00FD7046" w:rsidP="00B6576C">
      <w:pPr>
        <w:pStyle w:val="NormalWeb"/>
        <w:jc w:val="both"/>
      </w:pPr>
      <w:r w:rsidRPr="004120BE">
        <w:rPr>
          <w:rStyle w:val="Strong"/>
          <w:rFonts w:eastAsiaTheme="majorEastAsia"/>
          <w:b w:val="0"/>
          <w:bCs w:val="0"/>
        </w:rPr>
        <w:t>The rule in Article 2 appears to be quite different. According to</w:t>
      </w:r>
      <w:r w:rsidRPr="002C1827">
        <w:rPr>
          <w:rStyle w:val="Strong"/>
          <w:rFonts w:eastAsiaTheme="majorEastAsia"/>
          <w:b w:val="0"/>
          <w:bCs w:val="0"/>
        </w:rPr>
        <w:t xml:space="preserve"> §</w:t>
      </w:r>
      <w:r w:rsidRPr="004120BE">
        <w:rPr>
          <w:rStyle w:val="Strong"/>
          <w:rFonts w:eastAsiaTheme="majorEastAsia"/>
        </w:rPr>
        <w:t xml:space="preserve"> </w:t>
      </w:r>
      <w:r w:rsidRPr="004120BE">
        <w:rPr>
          <w:rStyle w:val="Strong"/>
          <w:rFonts w:eastAsiaTheme="majorEastAsia"/>
          <w:b w:val="0"/>
          <w:bCs w:val="0"/>
        </w:rPr>
        <w:t>2-601,</w:t>
      </w:r>
      <w:r w:rsidRPr="004120BE">
        <w:rPr>
          <w:rStyle w:val="Strong"/>
          <w:rFonts w:eastAsiaTheme="majorEastAsia"/>
        </w:rPr>
        <w:t xml:space="preserve"> </w:t>
      </w:r>
      <w:r w:rsidR="00C857BB" w:rsidRPr="004120BE">
        <w:rPr>
          <w:rStyle w:val="Strong"/>
          <w:rFonts w:eastAsiaTheme="majorEastAsia"/>
        </w:rPr>
        <w:t>“</w:t>
      </w:r>
      <w:r w:rsidRPr="004120BE">
        <w:t>if the goods or the tender of delivery fail in any respect to conform to the contract, the buyer may … reject the whole.</w:t>
      </w:r>
      <w:r w:rsidR="00C857BB" w:rsidRPr="004120BE">
        <w:t>”</w:t>
      </w:r>
      <w:r w:rsidRPr="004120BE">
        <w:t xml:space="preserve"> This </w:t>
      </w:r>
      <w:r w:rsidR="00DD34DE">
        <w:t xml:space="preserve">is </w:t>
      </w:r>
      <w:r w:rsidRPr="004120BE">
        <w:t xml:space="preserve">called the “perfect tender rule” because it sounds like the </w:t>
      </w:r>
      <w:r w:rsidR="00CC50F1" w:rsidRPr="004120BE">
        <w:t xml:space="preserve">buyer can reject the goods for </w:t>
      </w:r>
      <w:r w:rsidR="00CC50F1" w:rsidRPr="004120BE">
        <w:rPr>
          <w:i/>
          <w:iCs/>
        </w:rPr>
        <w:t xml:space="preserve">any </w:t>
      </w:r>
      <w:r w:rsidR="00CC50F1" w:rsidRPr="004120BE">
        <w:t>breach, not just a material one. The problem might b</w:t>
      </w:r>
      <w:r w:rsidR="004120BE">
        <w:t>e</w:t>
      </w:r>
      <w:r w:rsidR="00CC50F1" w:rsidRPr="004120BE">
        <w:t xml:space="preserve"> with the </w:t>
      </w:r>
      <w:r w:rsidR="00D35641">
        <w:t xml:space="preserve">manner in which the goods are </w:t>
      </w:r>
      <w:r w:rsidR="004120BE">
        <w:t>tender</w:t>
      </w:r>
      <w:r w:rsidR="00D35641">
        <w:t>ed</w:t>
      </w:r>
      <w:r w:rsidR="00C857BB" w:rsidRPr="004120BE">
        <w:t xml:space="preserve">. </w:t>
      </w:r>
      <w:r w:rsidR="00CC50F1" w:rsidRPr="004120BE">
        <w:t xml:space="preserve">For example, the goods are promised by noon and they arrive five minutes late, or they are promised </w:t>
      </w:r>
      <w:r w:rsidR="00BC2BD5">
        <w:t xml:space="preserve">to be delivered </w:t>
      </w:r>
      <w:r w:rsidR="00CC50F1" w:rsidRPr="004120BE">
        <w:t xml:space="preserve">by UPS and arrive by FedEx. Or </w:t>
      </w:r>
      <w:r w:rsidR="007226FF">
        <w:t>the problem</w:t>
      </w:r>
      <w:r w:rsidR="007226FF" w:rsidRPr="004120BE">
        <w:t xml:space="preserve"> </w:t>
      </w:r>
      <w:r w:rsidR="00CC50F1" w:rsidRPr="004120BE">
        <w:t xml:space="preserve">might be with the goods themselves. For example, the seller promised one model and </w:t>
      </w:r>
      <w:r w:rsidR="005103AA">
        <w:t>delivered</w:t>
      </w:r>
      <w:r w:rsidR="00CC50F1" w:rsidRPr="004120BE">
        <w:t xml:space="preserve"> an improved model. Or the seller promised </w:t>
      </w:r>
      <w:r w:rsidR="00C857BB" w:rsidRPr="004120BE">
        <w:t>1000 units and tendered 999.</w:t>
      </w:r>
      <w:r w:rsidR="004120BE">
        <w:t xml:space="preserve"> In all of these cases, it sounds like the buyer can reject the goods.</w:t>
      </w:r>
    </w:p>
    <w:p w14:paraId="3F46873C" w14:textId="5A4DC3C9" w:rsidR="006D36EE" w:rsidRPr="004120BE" w:rsidRDefault="006D36EE" w:rsidP="00B6576C">
      <w:pPr>
        <w:pStyle w:val="NormalWeb"/>
        <w:jc w:val="both"/>
      </w:pPr>
      <w:r w:rsidRPr="004120BE">
        <w:t>One can see some advantages of this rule. First, it is supposedly easy to apply</w:t>
      </w:r>
      <w:r w:rsidR="005103AA">
        <w:t>—</w:t>
      </w:r>
      <w:r w:rsidRPr="004120BE">
        <w:t xml:space="preserve">no arguing about the degree of the breach. And it gives sellers an incentive to get things right, </w:t>
      </w:r>
      <w:proofErr w:type="gramStart"/>
      <w:r w:rsidRPr="004120BE">
        <w:t>for</w:t>
      </w:r>
      <w:proofErr w:type="gramEnd"/>
      <w:r w:rsidRPr="004120BE">
        <w:t xml:space="preserve"> the consequence</w:t>
      </w:r>
      <w:r w:rsidR="005103AA">
        <w:t>s</w:t>
      </w:r>
      <w:r w:rsidRPr="004120BE">
        <w:t xml:space="preserve"> of breach </w:t>
      </w:r>
      <w:r w:rsidR="002C1827">
        <w:t xml:space="preserve">can be </w:t>
      </w:r>
      <w:r w:rsidRPr="004120BE">
        <w:t>harsh</w:t>
      </w:r>
      <w:r w:rsidR="002C1827">
        <w:t xml:space="preserve"> if the </w:t>
      </w:r>
      <w:r w:rsidR="00DD34DE">
        <w:t>buy</w:t>
      </w:r>
      <w:r w:rsidR="002C1827">
        <w:t>er rejects the goods.</w:t>
      </w:r>
    </w:p>
    <w:p w14:paraId="64DDD086" w14:textId="3CB70970" w:rsidR="006D36EE" w:rsidRDefault="006D36EE" w:rsidP="00B6576C">
      <w:pPr>
        <w:pStyle w:val="NormalWeb"/>
        <w:jc w:val="both"/>
      </w:pPr>
      <w:r w:rsidRPr="004120BE">
        <w:t>On the other hand, it seems contrary to UCC jurisprudence, which encourage</w:t>
      </w:r>
      <w:r w:rsidR="004120BE">
        <w:t>s</w:t>
      </w:r>
      <w:r w:rsidRPr="004120BE">
        <w:t xml:space="preserve"> parties not to be quick to get out of their contracts but to work things out. Indeed, in practice, parties often simply </w:t>
      </w:r>
      <w:r w:rsidR="009E52DA">
        <w:t>agree to</w:t>
      </w:r>
      <w:r w:rsidR="009E52DA" w:rsidRPr="004120BE">
        <w:t xml:space="preserve"> </w:t>
      </w:r>
      <w:r w:rsidRPr="004120BE">
        <w:t>a price adjustment in such situations</w:t>
      </w:r>
      <w:r w:rsidR="009E52DA">
        <w:t xml:space="preserve">, or the seller </w:t>
      </w:r>
      <w:r w:rsidR="004665F7">
        <w:t xml:space="preserve">otherwise </w:t>
      </w:r>
      <w:r w:rsidR="002C1827">
        <w:t>cures</w:t>
      </w:r>
      <w:r w:rsidR="004665F7">
        <w:t xml:space="preserve"> the problem</w:t>
      </w:r>
      <w:r w:rsidRPr="004120BE">
        <w:t>. This resolves the problem efficiently and keeps a good working relationship between the</w:t>
      </w:r>
      <w:r w:rsidR="004120BE">
        <w:t xml:space="preserve"> parties</w:t>
      </w:r>
      <w:r w:rsidR="00DD34DE">
        <w:t>.</w:t>
      </w:r>
    </w:p>
    <w:p w14:paraId="4C8990B5" w14:textId="6FB04F67" w:rsidR="00C857BB" w:rsidRPr="004120BE" w:rsidRDefault="004120BE" w:rsidP="00B6576C">
      <w:pPr>
        <w:pStyle w:val="NormalWeb"/>
        <w:jc w:val="both"/>
      </w:pPr>
      <w:r>
        <w:t>So it is not surprising that t</w:t>
      </w:r>
      <w:r w:rsidR="00C857BB" w:rsidRPr="004120BE">
        <w:t xml:space="preserve">here are a number of limitations and exceptions to the rule. For one thing, rejection presumes that the buyer has not accepted the goods. If the buyer has accepted them, it is too late to reject them if a nonconformity is later discovered. </w:t>
      </w:r>
    </w:p>
    <w:p w14:paraId="54813B21" w14:textId="3569878E" w:rsidR="00C857BB" w:rsidRPr="004120BE" w:rsidRDefault="00BC2BD5" w:rsidP="00B6576C">
      <w:pPr>
        <w:pStyle w:val="NormalWeb"/>
        <w:jc w:val="both"/>
      </w:pPr>
      <w:r>
        <w:t>If the buyer does reject them, §</w:t>
      </w:r>
      <w:r w:rsidR="00C857BB" w:rsidRPr="004120BE">
        <w:t xml:space="preserve"> 2-602(1) contains important requirements </w:t>
      </w:r>
      <w:r w:rsidR="002C1827">
        <w:t>that the buyer has to follow</w:t>
      </w:r>
      <w:r>
        <w:t>. It provides:</w:t>
      </w:r>
    </w:p>
    <w:p w14:paraId="7CC656D9" w14:textId="7A2FE426" w:rsidR="00C857BB" w:rsidRPr="004120BE" w:rsidRDefault="00C857BB" w:rsidP="00B6576C">
      <w:pPr>
        <w:pStyle w:val="NormalWeb"/>
        <w:ind w:left="600"/>
        <w:jc w:val="both"/>
      </w:pPr>
      <w:r w:rsidRPr="004120BE">
        <w:t>Rejection of goods must be within a reasonable time after their delivery or tender. It is ineffective unless the buyer seasonably notifies the seller.</w:t>
      </w:r>
    </w:p>
    <w:p w14:paraId="3291794F" w14:textId="3E2DBE10" w:rsidR="00C857BB" w:rsidRPr="004120BE" w:rsidRDefault="00C857BB" w:rsidP="00B6576C">
      <w:pPr>
        <w:pStyle w:val="NormalWeb"/>
        <w:jc w:val="both"/>
      </w:pPr>
      <w:r w:rsidRPr="004120BE">
        <w:t xml:space="preserve">According to </w:t>
      </w:r>
      <w:r w:rsidRPr="004120BE">
        <w:rPr>
          <w:rFonts w:eastAsiaTheme="majorEastAsia"/>
        </w:rPr>
        <w:t>§ 2-605</w:t>
      </w:r>
      <w:r w:rsidRPr="004120BE">
        <w:t>, the notification must indicate the particular defect the buyer is relying on to reject the goods</w:t>
      </w:r>
      <w:r w:rsidR="00F7694B">
        <w:t xml:space="preserve"> in situations where the seller is able to cure the problem. </w:t>
      </w:r>
      <w:r w:rsidRPr="004120BE">
        <w:t>This is a practical requirement</w:t>
      </w:r>
      <w:r w:rsidR="004120BE">
        <w:t>,</w:t>
      </w:r>
      <w:r w:rsidRPr="004120BE">
        <w:t xml:space="preserve"> for </w:t>
      </w:r>
      <w:r w:rsidR="00BC2BD5">
        <w:t>§</w:t>
      </w:r>
      <w:r w:rsidRPr="004120BE">
        <w:t xml:space="preserve"> 2-508 gives the seller a right to cure the nonconformity after rejection.</w:t>
      </w:r>
      <w:r w:rsidR="00F7694B">
        <w:t xml:space="preserve"> </w:t>
      </w:r>
      <w:r w:rsidR="00F7694B" w:rsidRPr="004120BE">
        <w:t xml:space="preserve">If the buyer doesn’t </w:t>
      </w:r>
      <w:r w:rsidR="00F7694B">
        <w:t>provide this information</w:t>
      </w:r>
      <w:r w:rsidR="00F7694B" w:rsidRPr="004120BE">
        <w:t xml:space="preserve">, </w:t>
      </w:r>
      <w:r w:rsidR="00F7694B">
        <w:t xml:space="preserve">it has </w:t>
      </w:r>
      <w:r w:rsidR="00F7694B" w:rsidRPr="004120BE">
        <w:t>waived the right to reject and recover damages.</w:t>
      </w:r>
    </w:p>
    <w:p w14:paraId="636D46BF" w14:textId="4787DCFC" w:rsidR="00FD7046" w:rsidRPr="004120BE" w:rsidRDefault="00C857BB" w:rsidP="00B6576C">
      <w:pPr>
        <w:pStyle w:val="NormalWeb"/>
        <w:jc w:val="both"/>
      </w:pPr>
      <w:r w:rsidRPr="004120BE">
        <w:t xml:space="preserve">Furthermore, § 2-601 itself </w:t>
      </w:r>
      <w:r w:rsidR="00FD7046" w:rsidRPr="004120BE">
        <w:t>contains a number of exceptions</w:t>
      </w:r>
      <w:r w:rsidR="006D36EE" w:rsidRPr="004120BE">
        <w:t xml:space="preserve"> to the rule. Let’s look at those.</w:t>
      </w:r>
    </w:p>
    <w:p w14:paraId="723FEC65" w14:textId="1FA6A742" w:rsidR="00FD7046" w:rsidRPr="004120BE" w:rsidRDefault="00FD7046" w:rsidP="00B6576C">
      <w:pPr>
        <w:pStyle w:val="NormalWeb"/>
        <w:jc w:val="both"/>
      </w:pPr>
      <w:r w:rsidRPr="004120BE">
        <w:lastRenderedPageBreak/>
        <w:t xml:space="preserve">One express exception is </w:t>
      </w:r>
      <w:r w:rsidR="004120BE">
        <w:t xml:space="preserve">that the perfect tender rule does not apply to </w:t>
      </w:r>
      <w:r w:rsidRPr="004120BE">
        <w:t>installment contracts</w:t>
      </w:r>
      <w:r w:rsidR="005103AA">
        <w:t>—</w:t>
      </w:r>
      <w:r w:rsidR="00F7694B">
        <w:t>contracts</w:t>
      </w:r>
      <w:r w:rsidR="00C857BB" w:rsidRPr="004120BE">
        <w:t xml:space="preserve"> </w:t>
      </w:r>
      <w:r w:rsidR="00312BF7">
        <w:t>in which</w:t>
      </w:r>
      <w:r w:rsidR="00312BF7" w:rsidRPr="004120BE">
        <w:t xml:space="preserve"> </w:t>
      </w:r>
      <w:r w:rsidR="004120BE">
        <w:t xml:space="preserve">the </w:t>
      </w:r>
      <w:r w:rsidR="00C857BB" w:rsidRPr="004120BE">
        <w:t xml:space="preserve">goods are to be delivered in installments. In that case, according to § 2-612, a buyer </w:t>
      </w:r>
      <w:r w:rsidR="00CA4860">
        <w:t xml:space="preserve">may </w:t>
      </w:r>
      <w:r w:rsidR="00C857BB" w:rsidRPr="004120BE">
        <w:t>reject an installment only for a nonconformity that substantially impairs the value of the installment</w:t>
      </w:r>
      <w:r w:rsidR="004120BE">
        <w:t xml:space="preserve"> </w:t>
      </w:r>
      <w:r w:rsidR="00C857BB" w:rsidRPr="004120BE">
        <w:t xml:space="preserve">and </w:t>
      </w:r>
      <w:r w:rsidR="00F7694B">
        <w:t>may</w:t>
      </w:r>
      <w:r w:rsidR="00C857BB" w:rsidRPr="004120BE">
        <w:t xml:space="preserve"> </w:t>
      </w:r>
      <w:r w:rsidR="004120BE">
        <w:t>cancel</w:t>
      </w:r>
      <w:r w:rsidR="00C857BB" w:rsidRPr="004120BE">
        <w:t xml:space="preserve"> the </w:t>
      </w:r>
      <w:r w:rsidR="004D54DB">
        <w:t xml:space="preserve">whole </w:t>
      </w:r>
      <w:r w:rsidR="00C857BB" w:rsidRPr="004120BE">
        <w:t xml:space="preserve">contract only if the nonconformity substantially impairs the value of the whole contract. </w:t>
      </w:r>
    </w:p>
    <w:p w14:paraId="195CC4D2" w14:textId="2D439974" w:rsidR="00FD7046" w:rsidRDefault="00FD7046" w:rsidP="00B6576C">
      <w:pPr>
        <w:pStyle w:val="NormalWeb"/>
        <w:jc w:val="both"/>
      </w:pPr>
      <w:r w:rsidRPr="004120BE">
        <w:t xml:space="preserve">Another express exception is when the </w:t>
      </w:r>
      <w:r w:rsidR="00C857BB" w:rsidRPr="004120BE">
        <w:t xml:space="preserve">parties have agreed to </w:t>
      </w:r>
      <w:r w:rsidRPr="004120BE">
        <w:t xml:space="preserve">limit the buyer’s remedies. </w:t>
      </w:r>
      <w:r w:rsidR="00C857BB" w:rsidRPr="004120BE">
        <w:t xml:space="preserve">According to § 2-719(1), the parties are free to do this as long as they make clear that the limited remedy is the exclusive remedy. For example, the parties might agree that the only remedy is to allow the seller to repair or replace the </w:t>
      </w:r>
      <w:r w:rsidR="00F7694B">
        <w:t xml:space="preserve">non-conforming </w:t>
      </w:r>
      <w:r w:rsidR="00C857BB" w:rsidRPr="004120BE">
        <w:t xml:space="preserve">goods. </w:t>
      </w:r>
    </w:p>
    <w:p w14:paraId="18F378BD" w14:textId="3422DDAB" w:rsidR="00DE7D16" w:rsidRPr="004120BE" w:rsidRDefault="00F7694B" w:rsidP="00B6576C">
      <w:pPr>
        <w:pStyle w:val="NormalWeb"/>
        <w:jc w:val="both"/>
      </w:pPr>
      <w:r>
        <w:t>O</w:t>
      </w:r>
      <w:r w:rsidR="00557F79">
        <w:t xml:space="preserve">ne </w:t>
      </w:r>
      <w:proofErr w:type="gramStart"/>
      <w:r w:rsidR="00557F79">
        <w:t>implied exception</w:t>
      </w:r>
      <w:proofErr w:type="gramEnd"/>
      <w:r w:rsidR="00557F79">
        <w:t xml:space="preserve"> </w:t>
      </w:r>
      <w:r>
        <w:t>is that the parties’ agreement includes course of performance, course of dealing, and usage of trade as described in §</w:t>
      </w:r>
      <w:r w:rsidR="00E3672F">
        <w:t xml:space="preserve"> </w:t>
      </w:r>
      <w:r>
        <w:t xml:space="preserve">1-303. </w:t>
      </w:r>
      <w:r w:rsidR="00DD34DE">
        <w:t>Those implied terms may establish that the buyer has agreed not to reject in certain circumstances or has agreed to other remedies.</w:t>
      </w:r>
    </w:p>
    <w:p w14:paraId="2C25CAF4" w14:textId="7A3DB38E" w:rsidR="00FD7046" w:rsidRPr="004120BE" w:rsidRDefault="00FD7046" w:rsidP="00B6576C">
      <w:pPr>
        <w:pStyle w:val="NormalWeb"/>
        <w:jc w:val="both"/>
      </w:pPr>
      <w:r w:rsidRPr="004120BE">
        <w:t>An</w:t>
      </w:r>
      <w:r w:rsidR="00557F79">
        <w:t>other</w:t>
      </w:r>
      <w:r w:rsidRPr="004120BE">
        <w:t xml:space="preserve"> implied exception is the obligation of good faith. </w:t>
      </w:r>
      <w:r w:rsidR="00C857BB" w:rsidRPr="004120BE">
        <w:t>Section</w:t>
      </w:r>
      <w:r w:rsidRPr="004120BE">
        <w:t xml:space="preserve"> 1-304</w:t>
      </w:r>
      <w:r w:rsidR="00C857BB" w:rsidRPr="004120BE">
        <w:t xml:space="preserve"> provides that</w:t>
      </w:r>
      <w:r w:rsidRPr="004120BE">
        <w:t xml:space="preserve"> “Every contract or duty within [the Uniform Commercial Code] imposes an obligation of good faith in its performance and enforcement.” The obligation of good faith is defined in § 1-201(b)(20): </w:t>
      </w:r>
      <w:r w:rsidR="00E3672F">
        <w:t>“‘</w:t>
      </w:r>
      <w:r w:rsidRPr="004120BE">
        <w:t>Good faith’ … means honesty in fact and the observance of reasonable commercial standards of fair dealing.”</w:t>
      </w:r>
      <w:r w:rsidR="00C857BB" w:rsidRPr="004120BE">
        <w:t xml:space="preserve"> For example, a buyer would be acting in bad faith if it used the nonconformity as an excuse to reject the goods when the real reason was a falling market that made the contract unfavorable. </w:t>
      </w:r>
    </w:p>
    <w:p w14:paraId="6D093E35" w14:textId="5AB1035E" w:rsidR="00C857BB" w:rsidRPr="004120BE" w:rsidRDefault="00C857BB" w:rsidP="00B6576C">
      <w:pPr>
        <w:spacing w:after="0" w:line="240" w:lineRule="auto"/>
        <w:jc w:val="both"/>
        <w:rPr>
          <w:rFonts w:ascii="Times New Roman" w:hAnsi="Times New Roman" w:cs="Times New Roman"/>
        </w:rPr>
      </w:pPr>
      <w:r w:rsidRPr="004120BE">
        <w:rPr>
          <w:rFonts w:ascii="Times New Roman" w:eastAsia="Times New Roman" w:hAnsi="Times New Roman" w:cs="Times New Roman"/>
          <w:kern w:val="0"/>
          <w14:ligatures w14:val="none"/>
        </w:rPr>
        <w:t>Given all these limitations and exceptions, t</w:t>
      </w:r>
      <w:r w:rsidRPr="004120BE">
        <w:rPr>
          <w:rFonts w:ascii="Times New Roman" w:hAnsi="Times New Roman" w:cs="Times New Roman"/>
        </w:rPr>
        <w:t>he perfect tender rule seems to follow the well-known adage</w:t>
      </w:r>
      <w:r w:rsidR="00E3672F">
        <w:rPr>
          <w:rFonts w:ascii="Times New Roman" w:hAnsi="Times New Roman" w:cs="Times New Roman"/>
        </w:rPr>
        <w:t>—</w:t>
      </w:r>
      <w:r w:rsidRPr="004120BE">
        <w:rPr>
          <w:rFonts w:ascii="Times New Roman" w:hAnsi="Times New Roman" w:cs="Times New Roman"/>
        </w:rPr>
        <w:t>if it seems too good to be true, it probably is. White &amp; Summers, in their treatise on the UCC, have this to say about it:</w:t>
      </w:r>
    </w:p>
    <w:p w14:paraId="16A4724A" w14:textId="77777777" w:rsidR="00C857BB" w:rsidRPr="004120BE" w:rsidRDefault="00C857BB" w:rsidP="00B6576C">
      <w:pPr>
        <w:pStyle w:val="NormalWeb"/>
        <w:ind w:left="600"/>
        <w:jc w:val="both"/>
      </w:pPr>
      <w:r w:rsidRPr="004120BE">
        <w:t>We conclude, and the cases decided to date suggest, that the Code changes and the courts’ manipulation have so eroded the perfect tender rule that the law would be little changed if 2-601 gave the right to reject only upon “substantial” nonconformity. Of the reported Code cases on rejection, few actually grant rejection on what could fairly be called an insubstantial nonconformity, despite language in some cases allowing such rejection.</w:t>
      </w:r>
    </w:p>
    <w:p w14:paraId="6227A0AC" w14:textId="52F1ACE7" w:rsidR="00FD7046" w:rsidRDefault="00BC2BD5" w:rsidP="00B6576C">
      <w:pPr>
        <w:jc w:val="both"/>
        <w:rPr>
          <w:rFonts w:ascii="Times New Roman" w:hAnsi="Times New Roman" w:cs="Times New Roman"/>
        </w:rPr>
      </w:pPr>
      <w:r>
        <w:rPr>
          <w:rFonts w:ascii="Times New Roman" w:hAnsi="Times New Roman" w:cs="Times New Roman"/>
        </w:rPr>
        <w:t xml:space="preserve">In conclusion, you should be able to </w:t>
      </w:r>
      <w:r w:rsidR="002F36D3">
        <w:rPr>
          <w:rFonts w:ascii="Times New Roman" w:hAnsi="Times New Roman" w:cs="Times New Roman"/>
        </w:rPr>
        <w:t>re</w:t>
      </w:r>
      <w:r>
        <w:rPr>
          <w:rFonts w:ascii="Times New Roman" w:hAnsi="Times New Roman" w:cs="Times New Roman"/>
        </w:rPr>
        <w:t xml:space="preserve">cite the perfect tender rule. </w:t>
      </w:r>
      <w:r w:rsidR="00E3672F">
        <w:rPr>
          <w:rFonts w:ascii="Times New Roman" w:hAnsi="Times New Roman" w:cs="Times New Roman"/>
        </w:rPr>
        <w:t xml:space="preserve">“If the goods or the tender of delivery fail in any respect to conform to the contract, the buyer may reject the whole.” </w:t>
      </w:r>
      <w:r w:rsidR="002F36D3">
        <w:rPr>
          <w:rFonts w:ascii="Times New Roman" w:hAnsi="Times New Roman" w:cs="Times New Roman"/>
        </w:rPr>
        <w:t>Y</w:t>
      </w:r>
      <w:r>
        <w:rPr>
          <w:rFonts w:ascii="Times New Roman" w:hAnsi="Times New Roman" w:cs="Times New Roman"/>
        </w:rPr>
        <w:t xml:space="preserve">ou should also be able to </w:t>
      </w:r>
      <w:r w:rsidR="002F36D3">
        <w:rPr>
          <w:rFonts w:ascii="Times New Roman" w:hAnsi="Times New Roman" w:cs="Times New Roman"/>
        </w:rPr>
        <w:t>apply it in light of</w:t>
      </w:r>
      <w:r>
        <w:rPr>
          <w:rFonts w:ascii="Times New Roman" w:hAnsi="Times New Roman" w:cs="Times New Roman"/>
        </w:rPr>
        <w:t xml:space="preserve"> the limitations and exceptions to its apparently broad sweep.</w:t>
      </w:r>
    </w:p>
    <w:p w14:paraId="7CF728F2" w14:textId="69DA2A63" w:rsidR="00BC2BD5" w:rsidRPr="00B6576C" w:rsidRDefault="00BC2BD5" w:rsidP="00B6576C">
      <w:pPr>
        <w:jc w:val="both"/>
        <w:rPr>
          <w:rFonts w:ascii="Times New Roman" w:hAnsi="Times New Roman" w:cs="Times New Roman"/>
        </w:rPr>
      </w:pPr>
      <w:r>
        <w:rPr>
          <w:rFonts w:ascii="Times New Roman" w:hAnsi="Times New Roman" w:cs="Times New Roman"/>
        </w:rPr>
        <w:t xml:space="preserve">I hope you </w:t>
      </w:r>
      <w:r w:rsidRPr="00B6576C">
        <w:rPr>
          <w:rFonts w:ascii="Times New Roman" w:hAnsi="Times New Roman" w:cs="Times New Roman"/>
        </w:rPr>
        <w:t>have enjoyed this podcast on The Perfect Tender Rule.</w:t>
      </w:r>
    </w:p>
    <w:p w14:paraId="15D187DC" w14:textId="77777777" w:rsidR="00B6576C" w:rsidRPr="00B6576C" w:rsidRDefault="00B6576C" w:rsidP="00B6576C">
      <w:pPr>
        <w:jc w:val="both"/>
        <w:rPr>
          <w:rFonts w:ascii="Times New Roman" w:hAnsi="Times New Roman" w:cs="Times New Roman"/>
        </w:rPr>
      </w:pPr>
      <w:proofErr w:type="spellStart"/>
      <w:r w:rsidRPr="00B6576C">
        <w:rPr>
          <w:rFonts w:ascii="Times New Roman" w:hAnsi="Times New Roman" w:cs="Times New Roman"/>
        </w:rPr>
        <w:t>Lawdibles</w:t>
      </w:r>
      <w:proofErr w:type="spellEnd"/>
      <w:r w:rsidRPr="00B6576C">
        <w:rPr>
          <w:rFonts w:ascii="Times New Roman" w:hAnsi="Times New Roman" w:cs="Times New Roman"/>
        </w:rPr>
        <w:t xml:space="preserve"> are produced and distributed by CALI, The Center for Computer-Assisted Legal Instruction. Find more </w:t>
      </w:r>
      <w:proofErr w:type="spellStart"/>
      <w:r w:rsidRPr="00B6576C">
        <w:rPr>
          <w:rFonts w:ascii="Times New Roman" w:hAnsi="Times New Roman" w:cs="Times New Roman"/>
        </w:rPr>
        <w:t>Lawdibles</w:t>
      </w:r>
      <w:proofErr w:type="spellEnd"/>
      <w:r w:rsidRPr="00B6576C">
        <w:rPr>
          <w:rFonts w:ascii="Times New Roman" w:hAnsi="Times New Roman" w:cs="Times New Roman"/>
        </w:rPr>
        <w:t xml:space="preserve"> at www.cali.org/lawdibles. Send your questions and feedback to lawdibles@cali.org. The </w:t>
      </w:r>
      <w:proofErr w:type="spellStart"/>
      <w:r w:rsidRPr="00B6576C">
        <w:rPr>
          <w:rFonts w:ascii="Times New Roman" w:hAnsi="Times New Roman" w:cs="Times New Roman"/>
        </w:rPr>
        <w:t>Lawdibles</w:t>
      </w:r>
      <w:proofErr w:type="spellEnd"/>
      <w:r w:rsidRPr="00B6576C">
        <w:rPr>
          <w:rFonts w:ascii="Times New Roman" w:hAnsi="Times New Roman" w:cs="Times New Roman"/>
        </w:rPr>
        <w:t xml:space="preserve"> theme music is “Ask Me No Question” by </w:t>
      </w:r>
      <w:hyperlink r:id="rId6" w:history="1">
        <w:r w:rsidRPr="00B6576C">
          <w:rPr>
            <w:rStyle w:val="Hyperlink"/>
            <w:rFonts w:ascii="Times New Roman" w:hAnsi="Times New Roman" w:cs="Times New Roman"/>
          </w:rPr>
          <w:t>Learning Music</w:t>
        </w:r>
      </w:hyperlink>
      <w:r w:rsidRPr="00B6576C">
        <w:rPr>
          <w:rFonts w:ascii="Times New Roman" w:hAnsi="Times New Roman" w:cs="Times New Roman"/>
        </w:rPr>
        <w:t xml:space="preserve">. </w:t>
      </w:r>
      <w:proofErr w:type="spellStart"/>
      <w:r w:rsidRPr="00B6576C">
        <w:rPr>
          <w:rFonts w:ascii="Times New Roman" w:hAnsi="Times New Roman" w:cs="Times New Roman"/>
        </w:rPr>
        <w:t>Lawdibles</w:t>
      </w:r>
      <w:proofErr w:type="spellEnd"/>
      <w:r w:rsidRPr="00B6576C">
        <w:rPr>
          <w:rFonts w:ascii="Times New Roman" w:hAnsi="Times New Roman" w:cs="Times New Roman"/>
        </w:rPr>
        <w:t xml:space="preserve"> are for educational purposes only. Please seek an attorney if you need legal advice.</w:t>
      </w:r>
    </w:p>
    <w:p w14:paraId="2255BE6B" w14:textId="77777777" w:rsidR="00B6576C" w:rsidRPr="00B6576C" w:rsidRDefault="00B6576C" w:rsidP="00B6576C">
      <w:pPr>
        <w:jc w:val="both"/>
        <w:rPr>
          <w:rFonts w:ascii="Times New Roman" w:hAnsi="Times New Roman" w:cs="Times New Roman"/>
        </w:rPr>
      </w:pPr>
    </w:p>
    <w:p w14:paraId="4E76CAE3" w14:textId="77777777" w:rsidR="00B6576C" w:rsidRPr="00B6576C" w:rsidRDefault="00B6576C" w:rsidP="00B6576C">
      <w:pPr>
        <w:jc w:val="both"/>
        <w:rPr>
          <w:rFonts w:ascii="Times New Roman" w:hAnsi="Times New Roman" w:cs="Times New Roman"/>
        </w:rPr>
      </w:pPr>
      <w:r w:rsidRPr="00B6576C">
        <w:rPr>
          <w:rFonts w:ascii="Times New Roman" w:hAnsi="Times New Roman" w:cs="Times New Roman"/>
        </w:rPr>
        <w:lastRenderedPageBreak/>
        <w:t xml:space="preserve">CREDIT: Ask Me No Question by Learning Music is licensed under an </w:t>
      </w:r>
      <w:hyperlink r:id="rId7" w:history="1">
        <w:r w:rsidRPr="00B6576C">
          <w:rPr>
            <w:rStyle w:val="Hyperlink"/>
            <w:rFonts w:ascii="Times New Roman" w:hAnsi="Times New Roman" w:cs="Times New Roman"/>
          </w:rPr>
          <w:t>Attribution-Noncommercial-Share Alike 3.0 United States License.</w:t>
        </w:r>
      </w:hyperlink>
    </w:p>
    <w:p w14:paraId="315B4778" w14:textId="77777777" w:rsidR="00B6576C" w:rsidRPr="004120BE" w:rsidRDefault="00B6576C" w:rsidP="00B6576C">
      <w:pPr>
        <w:jc w:val="both"/>
        <w:rPr>
          <w:rFonts w:ascii="Times New Roman" w:hAnsi="Times New Roman" w:cs="Times New Roman"/>
        </w:rPr>
      </w:pPr>
    </w:p>
    <w:sectPr w:rsidR="00B6576C" w:rsidRPr="004120BE" w:rsidSect="00DC303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ABAB5" w14:textId="77777777" w:rsidR="00A26298" w:rsidRDefault="00A26298" w:rsidP="00B6576C">
      <w:pPr>
        <w:spacing w:after="0" w:line="240" w:lineRule="auto"/>
      </w:pPr>
      <w:r>
        <w:separator/>
      </w:r>
    </w:p>
  </w:endnote>
  <w:endnote w:type="continuationSeparator" w:id="0">
    <w:p w14:paraId="53CC042D" w14:textId="77777777" w:rsidR="00A26298" w:rsidRDefault="00A26298" w:rsidP="00B65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CD424" w14:textId="68616ADB" w:rsidR="00B6576C" w:rsidRDefault="00B6576C" w:rsidP="00B6576C">
    <w:pPr>
      <w:pStyle w:val="Footer"/>
      <w:rPr>
        <w:rFonts w:cs="Arial"/>
        <w:color w:val="000000" w:themeColor="text1"/>
        <w:sz w:val="21"/>
        <w:szCs w:val="21"/>
      </w:rPr>
    </w:pPr>
    <w:r w:rsidRPr="00915303">
      <w:rPr>
        <w:rFonts w:cs="Arial"/>
        <w:color w:val="000000" w:themeColor="text1"/>
        <w:sz w:val="21"/>
        <w:szCs w:val="21"/>
      </w:rPr>
      <w:t xml:space="preserve">Discussions in Sales – </w:t>
    </w:r>
    <w:r>
      <w:rPr>
        <w:sz w:val="21"/>
        <w:szCs w:val="21"/>
      </w:rPr>
      <w:t>The Perfect Tender Rule</w:t>
    </w:r>
    <w:r w:rsidRPr="00915303">
      <w:rPr>
        <w:sz w:val="21"/>
        <w:szCs w:val="21"/>
      </w:rPr>
      <w:t xml:space="preserve">, by Scott J. Burnham     </w:t>
    </w:r>
    <w:r w:rsidRPr="00915303">
      <w:rPr>
        <w:sz w:val="21"/>
        <w:szCs w:val="21"/>
      </w:rPr>
      <w:tab/>
    </w:r>
    <w:r w:rsidRPr="00915303">
      <w:rPr>
        <w:rFonts w:cs="Arial"/>
        <w:color w:val="000000" w:themeColor="text1"/>
        <w:sz w:val="21"/>
        <w:szCs w:val="21"/>
      </w:rPr>
      <w:t xml:space="preserve">Page </w:t>
    </w:r>
    <w:r w:rsidRPr="00915303">
      <w:rPr>
        <w:rFonts w:cs="Arial"/>
        <w:bCs/>
        <w:color w:val="000000" w:themeColor="text1"/>
        <w:sz w:val="21"/>
        <w:szCs w:val="21"/>
      </w:rPr>
      <w:fldChar w:fldCharType="begin"/>
    </w:r>
    <w:r w:rsidRPr="00915303">
      <w:rPr>
        <w:rFonts w:cs="Arial"/>
        <w:bCs/>
        <w:color w:val="000000" w:themeColor="text1"/>
        <w:sz w:val="21"/>
        <w:szCs w:val="21"/>
      </w:rPr>
      <w:instrText xml:space="preserve"> PAGE  \* Arabic  \* MERGEFORMAT </w:instrText>
    </w:r>
    <w:r w:rsidRPr="00915303">
      <w:rPr>
        <w:rFonts w:cs="Arial"/>
        <w:bCs/>
        <w:color w:val="000000" w:themeColor="text1"/>
        <w:sz w:val="21"/>
        <w:szCs w:val="21"/>
      </w:rPr>
      <w:fldChar w:fldCharType="separate"/>
    </w:r>
    <w:r>
      <w:rPr>
        <w:rFonts w:cs="Arial"/>
        <w:bCs/>
        <w:color w:val="000000" w:themeColor="text1"/>
        <w:sz w:val="21"/>
        <w:szCs w:val="21"/>
      </w:rPr>
      <w:t>1</w:t>
    </w:r>
    <w:r w:rsidRPr="00915303">
      <w:rPr>
        <w:rFonts w:cs="Arial"/>
        <w:bCs/>
        <w:color w:val="000000" w:themeColor="text1"/>
        <w:sz w:val="21"/>
        <w:szCs w:val="21"/>
      </w:rPr>
      <w:fldChar w:fldCharType="end"/>
    </w:r>
    <w:r w:rsidRPr="00915303">
      <w:rPr>
        <w:rFonts w:cs="Arial"/>
        <w:color w:val="000000" w:themeColor="text1"/>
        <w:sz w:val="21"/>
        <w:szCs w:val="21"/>
      </w:rPr>
      <w:t xml:space="preserve"> of </w:t>
    </w:r>
    <w:r w:rsidRPr="00915303">
      <w:rPr>
        <w:rFonts w:cs="Arial"/>
        <w:bCs/>
        <w:color w:val="000000" w:themeColor="text1"/>
        <w:sz w:val="21"/>
        <w:szCs w:val="21"/>
      </w:rPr>
      <w:fldChar w:fldCharType="begin"/>
    </w:r>
    <w:r w:rsidRPr="00915303">
      <w:rPr>
        <w:rFonts w:cs="Arial"/>
        <w:bCs/>
        <w:color w:val="000000" w:themeColor="text1"/>
        <w:sz w:val="21"/>
        <w:szCs w:val="21"/>
      </w:rPr>
      <w:instrText xml:space="preserve"> NUMPAGES  \* Arabic  \* MERGEFORMAT </w:instrText>
    </w:r>
    <w:r w:rsidRPr="00915303">
      <w:rPr>
        <w:rFonts w:cs="Arial"/>
        <w:bCs/>
        <w:color w:val="000000" w:themeColor="text1"/>
        <w:sz w:val="21"/>
        <w:szCs w:val="21"/>
      </w:rPr>
      <w:fldChar w:fldCharType="separate"/>
    </w:r>
    <w:r>
      <w:rPr>
        <w:rFonts w:cs="Arial"/>
        <w:bCs/>
        <w:color w:val="000000" w:themeColor="text1"/>
        <w:sz w:val="21"/>
        <w:szCs w:val="21"/>
      </w:rPr>
      <w:t>2</w:t>
    </w:r>
    <w:r w:rsidRPr="00915303">
      <w:rPr>
        <w:rFonts w:cs="Arial"/>
        <w:bCs/>
        <w:color w:val="000000" w:themeColor="text1"/>
        <w:sz w:val="21"/>
        <w:szCs w:val="21"/>
      </w:rPr>
      <w:fldChar w:fldCharType="end"/>
    </w:r>
  </w:p>
  <w:p w14:paraId="71736D2D" w14:textId="77777777" w:rsidR="00B6576C" w:rsidRDefault="00B6576C" w:rsidP="00B6576C">
    <w:pPr>
      <w:pStyle w:val="Footer"/>
      <w:rPr>
        <w:rFonts w:cs="Arial"/>
        <w:color w:val="000000"/>
        <w:sz w:val="21"/>
        <w:szCs w:val="21"/>
      </w:rPr>
    </w:pPr>
    <w:r w:rsidRPr="00915303">
      <w:rPr>
        <w:rFonts w:cs="Arial"/>
        <w:color w:val="000000"/>
        <w:sz w:val="21"/>
        <w:szCs w:val="21"/>
      </w:rPr>
      <w:t xml:space="preserve">© 2025 The Center for Computer-Assisted Legal Instruction, </w:t>
    </w:r>
    <w:hyperlink r:id="rId1" w:history="1">
      <w:r w:rsidRPr="00DF7081">
        <w:rPr>
          <w:rStyle w:val="Hyperlink"/>
          <w:rFonts w:cs="Arial"/>
          <w:sz w:val="21"/>
          <w:szCs w:val="21"/>
        </w:rPr>
        <w:t>www.cali.org</w:t>
      </w:r>
    </w:hyperlink>
    <w:r w:rsidRPr="00915303">
      <w:rPr>
        <w:rFonts w:cs="Arial"/>
        <w:color w:val="000000"/>
        <w:sz w:val="21"/>
        <w:szCs w:val="21"/>
      </w:rPr>
      <w:t xml:space="preserve">. </w:t>
    </w:r>
  </w:p>
  <w:p w14:paraId="74303A2D" w14:textId="77777777" w:rsidR="00B6576C" w:rsidRPr="00915303" w:rsidRDefault="00B6576C" w:rsidP="00B6576C">
    <w:pPr>
      <w:pStyle w:val="Footer"/>
      <w:rPr>
        <w:sz w:val="21"/>
        <w:szCs w:val="21"/>
      </w:rPr>
    </w:pPr>
    <w:r w:rsidRPr="00915303">
      <w:rPr>
        <w:rFonts w:cs="Arial"/>
        <w:color w:val="000000"/>
        <w:sz w:val="21"/>
        <w:szCs w:val="21"/>
      </w:rPr>
      <w:t>Licensed</w:t>
    </w:r>
    <w:r w:rsidRPr="00915303">
      <w:rPr>
        <w:rFonts w:cs="Arial"/>
        <w:color w:val="000000" w:themeColor="text1"/>
        <w:sz w:val="21"/>
        <w:szCs w:val="21"/>
      </w:rPr>
      <w:t xml:space="preserve"> </w:t>
    </w:r>
    <w:hyperlink r:id="rId2" w:history="1">
      <w:r w:rsidRPr="00915303">
        <w:rPr>
          <w:rStyle w:val="Hyperlink"/>
          <w:rFonts w:cs="Arial"/>
          <w:color w:val="0A2F41" w:themeColor="accent1" w:themeShade="80"/>
          <w:sz w:val="21"/>
          <w:szCs w:val="21"/>
          <w:shd w:val="clear" w:color="auto" w:fill="FFFFFF"/>
        </w:rPr>
        <w:t>CC BY-NC-SA 4.0</w:t>
      </w:r>
    </w:hyperlink>
  </w:p>
  <w:p w14:paraId="3BAC4D20" w14:textId="77777777" w:rsidR="00B6576C" w:rsidRDefault="00B657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AE3A8" w14:textId="77777777" w:rsidR="00A26298" w:rsidRDefault="00A26298" w:rsidP="00B6576C">
      <w:pPr>
        <w:spacing w:after="0" w:line="240" w:lineRule="auto"/>
      </w:pPr>
      <w:r>
        <w:separator/>
      </w:r>
    </w:p>
  </w:footnote>
  <w:footnote w:type="continuationSeparator" w:id="0">
    <w:p w14:paraId="33532D63" w14:textId="77777777" w:rsidR="00A26298" w:rsidRDefault="00A26298" w:rsidP="00B657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046"/>
    <w:rsid w:val="00112542"/>
    <w:rsid w:val="0013692F"/>
    <w:rsid w:val="002565E5"/>
    <w:rsid w:val="002840BD"/>
    <w:rsid w:val="002C1827"/>
    <w:rsid w:val="002F36D3"/>
    <w:rsid w:val="00305E53"/>
    <w:rsid w:val="00312BF7"/>
    <w:rsid w:val="00337698"/>
    <w:rsid w:val="004120BE"/>
    <w:rsid w:val="004665F7"/>
    <w:rsid w:val="004A248C"/>
    <w:rsid w:val="004D54DB"/>
    <w:rsid w:val="005103AA"/>
    <w:rsid w:val="00557F79"/>
    <w:rsid w:val="005719AA"/>
    <w:rsid w:val="00642B0D"/>
    <w:rsid w:val="006D36EE"/>
    <w:rsid w:val="007226FF"/>
    <w:rsid w:val="007549C4"/>
    <w:rsid w:val="00817B83"/>
    <w:rsid w:val="00992B02"/>
    <w:rsid w:val="009939D8"/>
    <w:rsid w:val="009E52DA"/>
    <w:rsid w:val="00A052C8"/>
    <w:rsid w:val="00A2538C"/>
    <w:rsid w:val="00A26298"/>
    <w:rsid w:val="00A65A66"/>
    <w:rsid w:val="00B6576C"/>
    <w:rsid w:val="00B819D0"/>
    <w:rsid w:val="00B907CE"/>
    <w:rsid w:val="00BC2BD5"/>
    <w:rsid w:val="00BE154C"/>
    <w:rsid w:val="00C6134D"/>
    <w:rsid w:val="00C857BB"/>
    <w:rsid w:val="00CA4860"/>
    <w:rsid w:val="00CC50F1"/>
    <w:rsid w:val="00D1572E"/>
    <w:rsid w:val="00D35641"/>
    <w:rsid w:val="00DB64C0"/>
    <w:rsid w:val="00DC303E"/>
    <w:rsid w:val="00DD34DE"/>
    <w:rsid w:val="00DE2FD3"/>
    <w:rsid w:val="00DE7D16"/>
    <w:rsid w:val="00E3672F"/>
    <w:rsid w:val="00E90083"/>
    <w:rsid w:val="00F7694B"/>
    <w:rsid w:val="00FD7046"/>
    <w:rsid w:val="00FE0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6E204"/>
  <w15:chartTrackingRefBased/>
  <w15:docId w15:val="{1D199718-38DD-FD45-941F-A33888994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70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70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70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70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70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70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70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70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70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0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70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70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70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70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70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70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70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7046"/>
    <w:rPr>
      <w:rFonts w:eastAsiaTheme="majorEastAsia" w:cstheme="majorBidi"/>
      <w:color w:val="272727" w:themeColor="text1" w:themeTint="D8"/>
    </w:rPr>
  </w:style>
  <w:style w:type="paragraph" w:styleId="Title">
    <w:name w:val="Title"/>
    <w:basedOn w:val="Normal"/>
    <w:next w:val="Normal"/>
    <w:link w:val="TitleChar"/>
    <w:uiPriority w:val="10"/>
    <w:qFormat/>
    <w:rsid w:val="00FD70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70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70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70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7046"/>
    <w:pPr>
      <w:spacing w:before="160"/>
      <w:jc w:val="center"/>
    </w:pPr>
    <w:rPr>
      <w:i/>
      <w:iCs/>
      <w:color w:val="404040" w:themeColor="text1" w:themeTint="BF"/>
    </w:rPr>
  </w:style>
  <w:style w:type="character" w:customStyle="1" w:styleId="QuoteChar">
    <w:name w:val="Quote Char"/>
    <w:basedOn w:val="DefaultParagraphFont"/>
    <w:link w:val="Quote"/>
    <w:uiPriority w:val="29"/>
    <w:rsid w:val="00FD7046"/>
    <w:rPr>
      <w:i/>
      <w:iCs/>
      <w:color w:val="404040" w:themeColor="text1" w:themeTint="BF"/>
    </w:rPr>
  </w:style>
  <w:style w:type="paragraph" w:styleId="ListParagraph">
    <w:name w:val="List Paragraph"/>
    <w:basedOn w:val="Normal"/>
    <w:uiPriority w:val="34"/>
    <w:qFormat/>
    <w:rsid w:val="00FD7046"/>
    <w:pPr>
      <w:ind w:left="720"/>
      <w:contextualSpacing/>
    </w:pPr>
  </w:style>
  <w:style w:type="character" w:styleId="IntenseEmphasis">
    <w:name w:val="Intense Emphasis"/>
    <w:basedOn w:val="DefaultParagraphFont"/>
    <w:uiPriority w:val="21"/>
    <w:qFormat/>
    <w:rsid w:val="00FD7046"/>
    <w:rPr>
      <w:i/>
      <w:iCs/>
      <w:color w:val="0F4761" w:themeColor="accent1" w:themeShade="BF"/>
    </w:rPr>
  </w:style>
  <w:style w:type="paragraph" w:styleId="IntenseQuote">
    <w:name w:val="Intense Quote"/>
    <w:basedOn w:val="Normal"/>
    <w:next w:val="Normal"/>
    <w:link w:val="IntenseQuoteChar"/>
    <w:uiPriority w:val="30"/>
    <w:qFormat/>
    <w:rsid w:val="00FD70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7046"/>
    <w:rPr>
      <w:i/>
      <w:iCs/>
      <w:color w:val="0F4761" w:themeColor="accent1" w:themeShade="BF"/>
    </w:rPr>
  </w:style>
  <w:style w:type="character" w:styleId="IntenseReference">
    <w:name w:val="Intense Reference"/>
    <w:basedOn w:val="DefaultParagraphFont"/>
    <w:uiPriority w:val="32"/>
    <w:qFormat/>
    <w:rsid w:val="00FD7046"/>
    <w:rPr>
      <w:b/>
      <w:bCs/>
      <w:smallCaps/>
      <w:color w:val="0F4761" w:themeColor="accent1" w:themeShade="BF"/>
      <w:spacing w:val="5"/>
    </w:rPr>
  </w:style>
  <w:style w:type="paragraph" w:styleId="NormalWeb">
    <w:name w:val="Normal (Web)"/>
    <w:basedOn w:val="Normal"/>
    <w:uiPriority w:val="99"/>
    <w:unhideWhenUsed/>
    <w:rsid w:val="00FD704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D7046"/>
    <w:rPr>
      <w:b/>
      <w:bCs/>
    </w:rPr>
  </w:style>
  <w:style w:type="character" w:styleId="Emphasis">
    <w:name w:val="Emphasis"/>
    <w:basedOn w:val="DefaultParagraphFont"/>
    <w:uiPriority w:val="20"/>
    <w:qFormat/>
    <w:rsid w:val="00FD7046"/>
    <w:rPr>
      <w:i/>
      <w:iCs/>
    </w:rPr>
  </w:style>
  <w:style w:type="character" w:styleId="Hyperlink">
    <w:name w:val="Hyperlink"/>
    <w:basedOn w:val="DefaultParagraphFont"/>
    <w:uiPriority w:val="99"/>
    <w:unhideWhenUsed/>
    <w:rsid w:val="00FD7046"/>
    <w:rPr>
      <w:color w:val="0000FF"/>
      <w:u w:val="single"/>
    </w:rPr>
  </w:style>
  <w:style w:type="paragraph" w:styleId="Revision">
    <w:name w:val="Revision"/>
    <w:hidden/>
    <w:uiPriority w:val="99"/>
    <w:semiHidden/>
    <w:rsid w:val="00D35641"/>
    <w:pPr>
      <w:spacing w:after="0" w:line="240" w:lineRule="auto"/>
    </w:pPr>
  </w:style>
  <w:style w:type="character" w:styleId="CommentReference">
    <w:name w:val="annotation reference"/>
    <w:basedOn w:val="DefaultParagraphFont"/>
    <w:uiPriority w:val="99"/>
    <w:semiHidden/>
    <w:unhideWhenUsed/>
    <w:rsid w:val="007226FF"/>
    <w:rPr>
      <w:sz w:val="16"/>
      <w:szCs w:val="16"/>
    </w:rPr>
  </w:style>
  <w:style w:type="paragraph" w:styleId="CommentText">
    <w:name w:val="annotation text"/>
    <w:basedOn w:val="Normal"/>
    <w:link w:val="CommentTextChar"/>
    <w:uiPriority w:val="99"/>
    <w:unhideWhenUsed/>
    <w:rsid w:val="007226FF"/>
    <w:pPr>
      <w:spacing w:line="240" w:lineRule="auto"/>
    </w:pPr>
    <w:rPr>
      <w:sz w:val="20"/>
      <w:szCs w:val="20"/>
    </w:rPr>
  </w:style>
  <w:style w:type="character" w:customStyle="1" w:styleId="CommentTextChar">
    <w:name w:val="Comment Text Char"/>
    <w:basedOn w:val="DefaultParagraphFont"/>
    <w:link w:val="CommentText"/>
    <w:uiPriority w:val="99"/>
    <w:rsid w:val="007226FF"/>
    <w:rPr>
      <w:sz w:val="20"/>
      <w:szCs w:val="20"/>
    </w:rPr>
  </w:style>
  <w:style w:type="paragraph" w:styleId="CommentSubject">
    <w:name w:val="annotation subject"/>
    <w:basedOn w:val="CommentText"/>
    <w:next w:val="CommentText"/>
    <w:link w:val="CommentSubjectChar"/>
    <w:uiPriority w:val="99"/>
    <w:semiHidden/>
    <w:unhideWhenUsed/>
    <w:rsid w:val="007226FF"/>
    <w:rPr>
      <w:b/>
      <w:bCs/>
    </w:rPr>
  </w:style>
  <w:style w:type="character" w:customStyle="1" w:styleId="CommentSubjectChar">
    <w:name w:val="Comment Subject Char"/>
    <w:basedOn w:val="CommentTextChar"/>
    <w:link w:val="CommentSubject"/>
    <w:uiPriority w:val="99"/>
    <w:semiHidden/>
    <w:rsid w:val="007226FF"/>
    <w:rPr>
      <w:b/>
      <w:bCs/>
      <w:sz w:val="20"/>
      <w:szCs w:val="20"/>
    </w:rPr>
  </w:style>
  <w:style w:type="paragraph" w:styleId="Header">
    <w:name w:val="header"/>
    <w:basedOn w:val="Normal"/>
    <w:link w:val="HeaderChar"/>
    <w:uiPriority w:val="99"/>
    <w:unhideWhenUsed/>
    <w:rsid w:val="00B657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76C"/>
  </w:style>
  <w:style w:type="paragraph" w:styleId="Footer">
    <w:name w:val="footer"/>
    <w:basedOn w:val="Normal"/>
    <w:link w:val="FooterChar"/>
    <w:uiPriority w:val="99"/>
    <w:unhideWhenUsed/>
    <w:rsid w:val="00B657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7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7740">
      <w:bodyDiv w:val="1"/>
      <w:marLeft w:val="0"/>
      <w:marRight w:val="0"/>
      <w:marTop w:val="0"/>
      <w:marBottom w:val="0"/>
      <w:divBdr>
        <w:top w:val="none" w:sz="0" w:space="0" w:color="auto"/>
        <w:left w:val="none" w:sz="0" w:space="0" w:color="auto"/>
        <w:bottom w:val="none" w:sz="0" w:space="0" w:color="auto"/>
        <w:right w:val="none" w:sz="0" w:space="0" w:color="auto"/>
      </w:divBdr>
    </w:div>
    <w:div w:id="56902820">
      <w:bodyDiv w:val="1"/>
      <w:marLeft w:val="0"/>
      <w:marRight w:val="0"/>
      <w:marTop w:val="0"/>
      <w:marBottom w:val="0"/>
      <w:divBdr>
        <w:top w:val="none" w:sz="0" w:space="0" w:color="auto"/>
        <w:left w:val="none" w:sz="0" w:space="0" w:color="auto"/>
        <w:bottom w:val="none" w:sz="0" w:space="0" w:color="auto"/>
        <w:right w:val="none" w:sz="0" w:space="0" w:color="auto"/>
      </w:divBdr>
    </w:div>
    <w:div w:id="203568536">
      <w:bodyDiv w:val="1"/>
      <w:marLeft w:val="0"/>
      <w:marRight w:val="0"/>
      <w:marTop w:val="0"/>
      <w:marBottom w:val="0"/>
      <w:divBdr>
        <w:top w:val="none" w:sz="0" w:space="0" w:color="auto"/>
        <w:left w:val="none" w:sz="0" w:space="0" w:color="auto"/>
        <w:bottom w:val="none" w:sz="0" w:space="0" w:color="auto"/>
        <w:right w:val="none" w:sz="0" w:space="0" w:color="auto"/>
      </w:divBdr>
    </w:div>
    <w:div w:id="681513263">
      <w:bodyDiv w:val="1"/>
      <w:marLeft w:val="0"/>
      <w:marRight w:val="0"/>
      <w:marTop w:val="0"/>
      <w:marBottom w:val="0"/>
      <w:divBdr>
        <w:top w:val="none" w:sz="0" w:space="0" w:color="auto"/>
        <w:left w:val="none" w:sz="0" w:space="0" w:color="auto"/>
        <w:bottom w:val="none" w:sz="0" w:space="0" w:color="auto"/>
        <w:right w:val="none" w:sz="0" w:space="0" w:color="auto"/>
      </w:divBdr>
    </w:div>
    <w:div w:id="81880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creativecommons.org/licenses/by-nc-sa/3.0/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freemusicarchive.org/music/Learning_Music/"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nc-sa/4.0/" TargetMode="External"/><Relationship Id="rId1" Type="http://schemas.openxmlformats.org/officeDocument/2006/relationships/hyperlink" Target="http://www.cal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1212</TotalTime>
  <Pages>3</Pages>
  <Words>963</Words>
  <Characters>5495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Burnham</dc:creator>
  <cp:keywords/>
  <dc:description/>
  <cp:lastModifiedBy>Sara Smith</cp:lastModifiedBy>
  <cp:revision>4</cp:revision>
  <dcterms:created xsi:type="dcterms:W3CDTF">2025-07-10T20:27:00Z</dcterms:created>
  <dcterms:modified xsi:type="dcterms:W3CDTF">2025-07-11T16:38:00Z</dcterms:modified>
</cp:coreProperties>
</file>